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004" w:rsidRPr="00E74BAC" w:rsidRDefault="00CF3FF1" w:rsidP="0010100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101004" w:rsidRPr="00E74BAC" w:rsidRDefault="00CF3FF1" w:rsidP="0010100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</w:p>
    <w:p w:rsidR="00101004" w:rsidRPr="00E74BAC" w:rsidRDefault="00CF3FF1" w:rsidP="0010100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101004" w:rsidRPr="00E74BAC" w:rsidRDefault="00101004" w:rsidP="0010100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04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E74BAC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="00E74BAC" w:rsidRPr="00E74BAC">
        <w:rPr>
          <w:rFonts w:ascii="Times New Roman" w:eastAsia="Times New Roman" w:hAnsi="Times New Roman" w:cs="Times New Roman"/>
          <w:sz w:val="24"/>
          <w:szCs w:val="24"/>
        </w:rPr>
        <w:t>011-878/21-3</w:t>
      </w:r>
    </w:p>
    <w:p w:rsidR="00101004" w:rsidRPr="00E74BAC" w:rsidRDefault="00101004" w:rsidP="0010100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29.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jun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</w:p>
    <w:p w:rsidR="00101004" w:rsidRPr="00E74BAC" w:rsidRDefault="00CF3FF1" w:rsidP="0010100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</w:t>
      </w:r>
    </w:p>
    <w:p w:rsidR="00101004" w:rsidRPr="00E74BAC" w:rsidRDefault="00101004" w:rsidP="0010100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1004" w:rsidRPr="00E74BAC" w:rsidRDefault="00101004" w:rsidP="0010100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1004" w:rsidRPr="00E74BAC" w:rsidRDefault="00101004" w:rsidP="0010100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1004" w:rsidRPr="00E74BAC" w:rsidRDefault="00101004" w:rsidP="0010100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BAC" w:rsidRPr="00E74BAC" w:rsidRDefault="00E74BAC" w:rsidP="0010100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1004" w:rsidRPr="00E74BAC" w:rsidRDefault="00CF3FF1" w:rsidP="00101004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USTAVNOM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SUDU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</w:p>
    <w:p w:rsidR="00101004" w:rsidRPr="00E74BAC" w:rsidRDefault="00101004" w:rsidP="00101004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01004" w:rsidRPr="00E74BAC" w:rsidRDefault="00101004" w:rsidP="00101004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101004" w:rsidRPr="00E74BAC" w:rsidRDefault="00CF3FF1" w:rsidP="00101004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Bulevar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Kralja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</w:t>
      </w:r>
    </w:p>
    <w:p w:rsidR="00101004" w:rsidRPr="00E74BAC" w:rsidRDefault="00CF3FF1" w:rsidP="00101004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</w:t>
      </w:r>
    </w:p>
    <w:p w:rsidR="00101004" w:rsidRPr="00E74BAC" w:rsidRDefault="00101004" w:rsidP="00101004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01004" w:rsidRPr="00E74BAC" w:rsidRDefault="00101004" w:rsidP="00101004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74BAC" w:rsidRDefault="00CF3FF1" w:rsidP="00E74BAC">
      <w:pPr>
        <w:tabs>
          <w:tab w:val="left" w:pos="1418"/>
        </w:tabs>
        <w:spacing w:after="12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održanoj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29.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juna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povodom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podnete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inicijativ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>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pokretanje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postupka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ocenu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ustavnosti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odredbe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člana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236.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stav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tačka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2),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člana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238.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člana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241.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stav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Zakona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naknadama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korišćenje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javnih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dobara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>(„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Službeni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glasnik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RS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”,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95/18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49/19 -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daljem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tekstu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Ustavnom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sudu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GRIFON MEDIA d.o.o.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Filozofa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LL PANVISION d.o.o.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Pančevo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Kikindska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11, 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OUTDOOR COMUNICATION 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Danijela Đurić 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Latn-RS"/>
        </w:rPr>
        <w:t>PR,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Boka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Dimitrija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Tucovića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53, 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MRFIS PLAY Communications, d.o.o.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Sad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Simeona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Pišćevića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13, 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GROUP BRENDOMANIA d.o.o.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Sad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Doža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Đerđa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41, 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CITY MEDIA ADVERTISING d.o.o.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Sad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Sentandrejski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put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44, 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SOHO ADVERTISING SOLUTIONS d.o.o.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Sad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Marodićeva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Petar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Stojković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PR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marketing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produkciju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REFORMA 031,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Požega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Kralja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9, 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EKT REKLAM,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spoljno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oglašavanje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Tibor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Juhas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preduzetnik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Kikinda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Vojvode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Putnika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Marketing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MAGIC LINE,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Svetislav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Stanikić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PR,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Jagodina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Slavke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Đurđević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1/3,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Relja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Bošković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PR,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dizajn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usluge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REX BILLBOARD CITY,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Požega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Hilandarska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Latn-RS"/>
        </w:rPr>
        <w:t>5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6, 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SYSTEM BEČEJ,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Reklamna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Bečej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Zelena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63, 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HEROR MEDIA PONT d.o.o,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Sad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ANGERONA d.o.o.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Požarevac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Drinska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21/2, 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Latn-RS"/>
        </w:rPr>
        <w:t>MILK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>&amp;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HONEY COMMUNICATIONS, d.o.o.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Sad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Vojvođanskih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brigada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13/6, 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BABBLER MEDIA MARKETING, d.o.o.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Sad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Cara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76/10,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Udruženje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OUTDOOR ASOCIJACIJA MEGABOARD,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Vojvode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Stepe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115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Ustavni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sud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dostavio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pismom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Broj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Uz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-183/2019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19.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januara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pismom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03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011-878/21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dostavi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Ustavnom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sudu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odgovor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E74BAC" w:rsidRDefault="00101004" w:rsidP="00E74BAC">
      <w:pPr>
        <w:tabs>
          <w:tab w:val="left" w:pos="1440"/>
        </w:tabs>
        <w:spacing w:after="12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GRIFON MEDIA d.o.o.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Filozofa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8,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LL PANVISION d.o.o.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Pančevo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Kikindska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11, 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OUTDOOR COMUNICATION 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Danijela Đurić 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Latn-RS"/>
        </w:rPr>
        <w:t>PR,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Boka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Dimitrija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Tucovića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53, 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MRFIS PLAY Communications, d.o.o.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Novi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Sad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Simeona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Pišćevića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13, 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GROUP BRENDOMANIA d.o.o.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Novi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Sad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Doža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Đerđa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41, 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CITY MEDIA ADVERTISING d.o.o.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Novi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Sad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Sentandrejski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put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44, 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SOHO ADVERTISING SOLUTIONS d.o.o.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Novi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Sad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Marodićeva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7,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Petar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Stojković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PR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marketing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produkciju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REFORMA 031,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Požega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Kralja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Petra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9, 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EKT REKLAM,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spoljno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oglašavanje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Tibor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Juhas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preduzetnik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Kikinda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Vojvode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Putnika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8,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Marketing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MAGIC LINE,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Svetislav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Stanikić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PR,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Jagodina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Slavke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Đurđević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1/3,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Relja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Bošković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PR,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dizajn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usluge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REX BILLBOARD CITY,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Požega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Hilandarska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Latn-RS"/>
        </w:rPr>
        <w:t>5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6, 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SYSTEM BEČEJ,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Reklamna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Bečej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Zelena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63, 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HEROR MEDIA PONT d.o.o,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Novi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Sad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ANGERONA d.o.o.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Požarevac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Drinska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21/2, 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Latn-RS"/>
        </w:rPr>
        <w:t>MILK</w:t>
      </w:r>
      <w:r w:rsidRPr="00E74BAC">
        <w:rPr>
          <w:rFonts w:ascii="Times New Roman" w:eastAsia="Times New Roman" w:hAnsi="Times New Roman" w:cs="Times New Roman"/>
          <w:sz w:val="24"/>
          <w:szCs w:val="24"/>
        </w:rPr>
        <w:t>&amp;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HONEY COMMUNICATIONS, d.o.o.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Novi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Sad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Vojvođanskih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brigada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13/6, 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BABBLER MEDIA MARKETING, d.o.o.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Novi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Sad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Cara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Dušana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76/10,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inicirali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ocenu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ustavnosti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odredbe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ru-RU"/>
        </w:rPr>
        <w:t>člana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236. </w:t>
      </w:r>
      <w:r w:rsidR="00CF3FF1">
        <w:rPr>
          <w:rFonts w:ascii="Times New Roman" w:eastAsia="Times New Roman" w:hAnsi="Times New Roman" w:cs="Times New Roman"/>
          <w:sz w:val="24"/>
          <w:szCs w:val="24"/>
          <w:lang w:val="ru-RU"/>
        </w:rPr>
        <w:t>stav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1. </w:t>
      </w:r>
      <w:r w:rsidR="00CF3FF1">
        <w:rPr>
          <w:rFonts w:ascii="Times New Roman" w:eastAsia="Times New Roman" w:hAnsi="Times New Roman" w:cs="Times New Roman"/>
          <w:sz w:val="24"/>
          <w:szCs w:val="24"/>
          <w:lang w:val="ru-RU"/>
        </w:rPr>
        <w:t>tačka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2) </w:t>
      </w:r>
      <w:r w:rsidR="00CF3FF1">
        <w:rPr>
          <w:rFonts w:ascii="Times New Roman" w:eastAsia="Times New Roman" w:hAnsi="Times New Roman" w:cs="Times New Roman"/>
          <w:sz w:val="24"/>
          <w:szCs w:val="24"/>
          <w:lang w:val="ru-RU"/>
        </w:rPr>
        <w:t>Zakona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izražavajući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stanovište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navedene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odredbe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suprotnosti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44.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oglašavanju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(„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Službeni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glasnik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RS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ˮ,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br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6/16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52/19 -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zakon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55.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Odluke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oglašavanju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teritoriji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grada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(„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Službeni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glasnik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grada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ˮ,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br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86/16, 126/16, 36/17, 96/17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109/18), „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kojima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izričito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propisuje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definiše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korišćenje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sredstava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oglašavanje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plaća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komunalna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taksa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naknada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korišćenje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javnih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površina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>ˮ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povređeno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ustavno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pravo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jedinstvenog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usklađenog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pravnog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sistema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vladavine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tim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iznose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stanovište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odredbe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236.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2)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dovode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mogućnosti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različite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neujednačene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primene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precizno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definisan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uticaj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ˮ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javnu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površinu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putem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postavljanja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reklamnih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panoa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zgradama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privatnom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vlasništvu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naknada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određuje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jednak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jednakoj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visini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objekat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oglašavanje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postavljen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neposredno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javnoj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površini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>ˮ.</w:t>
      </w:r>
    </w:p>
    <w:p w:rsidR="00E74BAC" w:rsidRDefault="00101004" w:rsidP="00E74BAC">
      <w:pPr>
        <w:tabs>
          <w:tab w:val="left" w:pos="1418"/>
        </w:tabs>
        <w:spacing w:after="12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2.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Udruženje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OUTDOOR ASOCIJACIJA MEGABOARD,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Vojvode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Stepe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115,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iniciralo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ocenu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ustavnosti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RS"/>
        </w:rPr>
        <w:t>odredbe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bookmarkStart w:id="1" w:name="_Hlk74004649"/>
      <w:r w:rsidR="00CF3FF1">
        <w:rPr>
          <w:rFonts w:ascii="Times New Roman" w:eastAsia="Times New Roman" w:hAnsi="Times New Roman" w:cs="Times New Roman"/>
          <w:sz w:val="24"/>
          <w:szCs w:val="24"/>
          <w:lang w:val="ru-RU"/>
        </w:rPr>
        <w:t>člana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236. </w:t>
      </w:r>
      <w:r w:rsidR="00CF3FF1">
        <w:rPr>
          <w:rFonts w:ascii="Times New Roman" w:eastAsia="Times New Roman" w:hAnsi="Times New Roman" w:cs="Times New Roman"/>
          <w:sz w:val="24"/>
          <w:szCs w:val="24"/>
          <w:lang w:val="ru-RU"/>
        </w:rPr>
        <w:t>stav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1. </w:t>
      </w:r>
      <w:r w:rsidR="00CF3FF1">
        <w:rPr>
          <w:rFonts w:ascii="Times New Roman" w:eastAsia="Times New Roman" w:hAnsi="Times New Roman" w:cs="Times New Roman"/>
          <w:sz w:val="24"/>
          <w:szCs w:val="24"/>
          <w:lang w:val="ru-RU"/>
        </w:rPr>
        <w:t>tačka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2), </w:t>
      </w:r>
      <w:r w:rsidR="00CF3FF1">
        <w:rPr>
          <w:rFonts w:ascii="Times New Roman" w:eastAsia="Times New Roman" w:hAnsi="Times New Roman" w:cs="Times New Roman"/>
          <w:sz w:val="24"/>
          <w:szCs w:val="24"/>
          <w:lang w:val="ru-RU"/>
        </w:rPr>
        <w:t>člana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238. </w:t>
      </w:r>
      <w:r w:rsidR="00CF3FF1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ru-RU"/>
        </w:rPr>
        <w:t>člana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241. </w:t>
      </w:r>
      <w:r w:rsidR="00CF3FF1">
        <w:rPr>
          <w:rFonts w:ascii="Times New Roman" w:eastAsia="Times New Roman" w:hAnsi="Times New Roman" w:cs="Times New Roman"/>
          <w:sz w:val="24"/>
          <w:szCs w:val="24"/>
          <w:lang w:val="ru-RU"/>
        </w:rPr>
        <w:t>stav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1. </w:t>
      </w:r>
      <w:r w:rsidR="00CF3FF1">
        <w:rPr>
          <w:rFonts w:ascii="Times New Roman" w:eastAsia="Times New Roman" w:hAnsi="Times New Roman" w:cs="Times New Roman"/>
          <w:sz w:val="24"/>
          <w:szCs w:val="24"/>
          <w:lang w:val="ru-RU"/>
        </w:rPr>
        <w:t>Zakona</w:t>
      </w:r>
      <w:bookmarkEnd w:id="1"/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navodeći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isti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suprotnosti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58,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91.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84.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Ustava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daljem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tekstu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Ustav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).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Naime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podnosilac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inicijative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navodi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odredbom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58.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Ustava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zajemčeno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pravo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svojine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može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oduzeto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ili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ograničeno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samo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javnom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interesu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utvrđenom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uz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naknadu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može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niža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tržišne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iznosi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svoje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stanište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odredbama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236.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tačka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2)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pravo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ograničeno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pravo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vlasnika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nepokretnosti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mirno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uživanje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imovine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odnosno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prava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pribiranje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plodova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>/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prihoda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izdavanja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nepokretnosti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potrebe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oglašavanja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jer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dato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pravo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jedinicama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lokalne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samouprave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umesto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vlasnika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objekata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pribiraju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plodove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>/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prihode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oglašavanja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nepokretnostima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privatnoj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svojini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tako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što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naplaćuju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naknadu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oglašavanje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privatnim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objektima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izvan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javne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površine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kojima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navodno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vrši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uticaj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raspoloživost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kvalitet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ili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neku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drugu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osobinu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javne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3FF1">
        <w:rPr>
          <w:rFonts w:ascii="Times New Roman" w:eastAsia="Times New Roman" w:hAnsi="Times New Roman" w:cs="Times New Roman"/>
          <w:sz w:val="24"/>
          <w:szCs w:val="24"/>
          <w:lang w:val="sr-Cyrl-CS"/>
        </w:rPr>
        <w:t>površine</w:t>
      </w:r>
      <w:r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74BAC" w:rsidRDefault="00CF3FF1" w:rsidP="00E74BAC">
      <w:pPr>
        <w:tabs>
          <w:tab w:val="left" w:pos="1440"/>
        </w:tabs>
        <w:spacing w:after="12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Pored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navedenog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podnosilac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inicijative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navodi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odredbom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91.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propisano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obaveza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plaćanja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poreza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drugih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dažbina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opšta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zasniva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ekonomskoj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moći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obveznika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”,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iznosi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svoje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stanovište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uzeo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obzir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naknada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utvrdi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ekonomskom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moći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obveznika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jer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prema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navodima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inicijatora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predmetna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naknada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predstavlja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veliko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opterećenje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stoga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većina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subjekata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učestvuju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tržištu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oglašavanja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neće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moći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pokrije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troškove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svoga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poslovanja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74BAC" w:rsidRDefault="00CF3FF1" w:rsidP="00E74BAC">
      <w:pPr>
        <w:tabs>
          <w:tab w:val="left" w:pos="1440"/>
        </w:tabs>
        <w:spacing w:after="12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Takođe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inicijator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navodi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84.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propisuje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imaju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jednak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pravni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položaj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tržištu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zabranjuje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akte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kojima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suprotno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ograničava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slobodna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konkurencija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stvaranjem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ili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zloupotrebom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monopolskog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ili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dominantnog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položaja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prema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shvatanju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podnosioca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inicijative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odredbama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241.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favorizovani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direktni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indirektni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korisnici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time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predviđeno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obveznici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naknade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74BAC" w:rsidRDefault="00CF3FF1" w:rsidP="00E74BAC">
      <w:pPr>
        <w:tabs>
          <w:tab w:val="left" w:pos="1440"/>
        </w:tabs>
        <w:spacing w:after="12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Neprihvatljivi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razlozi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argumentacija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ocenu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ustavnosti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inicijativi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izneli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podnosioci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sadržani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navodima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236.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2)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suprotnosti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oglašavanju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55.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Odluke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oglašavanju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Grada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74BAC" w:rsidRDefault="00CF3FF1" w:rsidP="00E74BAC">
      <w:pPr>
        <w:tabs>
          <w:tab w:val="left" w:pos="1440"/>
        </w:tabs>
        <w:spacing w:after="12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Naime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odredbom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236.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2)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propisano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naknada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korišćenje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površine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između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ostalog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naknada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za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korišćenje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javne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površine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za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oglašavanje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za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sopstvene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potrebe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za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potrebe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drugih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lica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kao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za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korišćenje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površine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objekta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za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oglašavanje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za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sopstvene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potrebe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za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potrebe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drugih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lica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kojim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vrši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neposredni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uticaj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raspoloživost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kvalitet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ili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neku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drugu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osobinu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javne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površine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za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koje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dozvolu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izdaje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nadležni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organ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jedinice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lokalne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samouprave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Odredbom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člana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44.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Zakona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oglašavanju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propisano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površinama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postavljanje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plakata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drugih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oglasnih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sredstava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dozvoljeno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uz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saglasnost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vlasnika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odnosno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lica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raspolaže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odgovarajućim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pravom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ili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ovlašćenjem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napred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navedenih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odredaba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proizilazi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suprotnosti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imajući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vidu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odredbama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236.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2)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isključuje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postavljanje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oglasnih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sredstava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površinama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dozvoljeno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uz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saglasnost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vlasnika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odnosno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lica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raspolaže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odgovarajućim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pravom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ili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ovlašćenjem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već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propisuje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naknada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korišćenje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površina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naknada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korišćenje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površine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objekata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površinama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kojima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vrši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neposredan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uticaj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površinu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dozvolu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postavljanje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oglasnih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sredstava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izdaje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nadležni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organ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jedinice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lokalne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Polazeći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ustavnog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ovlašćenja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okviru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nadležnosti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uređuje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obezbeđuje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finansiranje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ostvarivanja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dužnosti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zakonodavac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slobodan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definisanju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odgovarajućih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elemenata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tog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sistema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74BAC" w:rsidRPr="00E74BAC" w:rsidRDefault="00CF3FF1" w:rsidP="00E74BAC">
      <w:pPr>
        <w:tabs>
          <w:tab w:val="left" w:pos="1440"/>
        </w:tabs>
        <w:spacing w:after="12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Stanovište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inicijatora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odredbe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dovode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mogućnosti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različite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neujednačene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precizno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definisan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uticaj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ˮ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površinu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putem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postavljanja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reklamnih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panoa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zgradama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privatnom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vlasništvu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čemu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naknada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određuje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jednak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jednakoj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visini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objekat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oglašavanje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postavljen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neposredno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javnoj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površini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ˮ,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neosnovano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Naime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površinom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podrazumeva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korišćenje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površine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objekta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za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oglašavanje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za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sopstvene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potrebe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za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potrebe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drugih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lica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kojim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vrši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neposredni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uticaj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raspoloživost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kvalitet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ili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neku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drugu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osobinu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javne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površine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.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Definisanje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neposrednog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uticaja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raspoloživost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kvalitet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osobinu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površine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neophodno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urediti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imajući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odredbama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drugih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propisa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uređeno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oglašavanjem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otvorenim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površinama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povrediti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interes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sigurnosti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pešaka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motornih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vozila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drugih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učesnika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saobraćaju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interes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očuvanja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unapređenja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izgleda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jedinice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kulturno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istorijskih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spomenika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interes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uslov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sigurnosti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stvari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oglašavanju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uslove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oglašavanja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bliže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uređuje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jedinica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Ukazujemo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upravljaču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puta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između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ostalog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vršenje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ovlašćenja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izdavanje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odobrenja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postavljanje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reklamnih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tabli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panoa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putevima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Službeni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glasnik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RS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ˮ,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41/18, 95/18 –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)).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oglašavanje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predmetnim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površinama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vršiti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odobrenja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nadležnog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jedinice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sagledavanja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ispunjenja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uslova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sigurnosti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stvari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sigurnost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pešaka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motornih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vozila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drugih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učesnika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saobraćaju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interesa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očuvanja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unapređenja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izgleda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jedinice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kulturno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istorijskih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spomenika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interes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Dakle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ispitivanje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prethodno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navedenih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uslova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vrši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uticaja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između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ostalog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saobraćajnu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površinu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put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ulicu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pešačku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zonu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predstavlja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površinu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čemu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postavljanje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oglasnih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predstavlja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nadležnih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ispunjenju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odgovarajućih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uslova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navedenog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ukazujemo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dredbama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</w:t>
      </w:r>
      <w:r w:rsidR="00101004" w:rsidRPr="00E74BAC">
        <w:rPr>
          <w:rFonts w:ascii="Times New Roman" w:eastAsia="Times New Roman" w:hAnsi="Times New Roman" w:cs="Times New Roman"/>
          <w:bCs/>
          <w:sz w:val="24"/>
          <w:szCs w:val="24"/>
        </w:rPr>
        <w:t xml:space="preserve"> 239</w:t>
      </w:r>
      <w:r w:rsidR="00101004" w:rsidRPr="00E74BA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Zakona</w:t>
      </w:r>
      <w:r w:rsidR="00101004" w:rsidRPr="00E74BA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propisani</w:t>
      </w:r>
      <w:r w:rsidR="00101004" w:rsidRPr="00E74BA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ajviši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iznos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naknade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korišćenje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površine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riterijumi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propisivanje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visine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naknada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ovlašćenje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ktom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jedinice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lokalne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samouprave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utvrđuje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visina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naknade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skladu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istim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olakšice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način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dostavljanja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sadržaj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podataka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korišćenju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površine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nadležnom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utvrđuje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obavezu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plaćanja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naknade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>.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jedinice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svojim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aktom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odlukom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bliže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uredile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kriterijume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utvrđivanje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visine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naknade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visinu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naknade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zavisnosti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opredeljenih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kriterijuma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napominjemo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Odlukom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naknadama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korišćenje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javnih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dobara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teritoriji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grada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(„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Službeni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list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grada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ˮ,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118/18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52/19,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daljem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tekstu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Odluka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Tarifnom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2)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propisan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znatno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niži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iznos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naknade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postavljanje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oglasnih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sredstava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površinama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objektima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vrše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uticaj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izgled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kvalitet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odnosno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osobinu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površine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74BAC" w:rsidRDefault="00CF3FF1" w:rsidP="00E74BAC">
      <w:pPr>
        <w:tabs>
          <w:tab w:val="left" w:pos="1440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Neprihvatljivi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razlozi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argumentacija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ocenu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ustavnosti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inicijativama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izneli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podnosioci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sadržani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navodima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236.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suprotnosti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58.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propisano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CS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emči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mirno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uživanje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svojine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drugih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imovinskih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stečenih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svojine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može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oduzeto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ili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ograničeno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interesu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utvrđenom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uz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naknadu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može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niža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tržišne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može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ograničiti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način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korišćenja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imovine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oduzimanje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ili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ograničenje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imovine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naplate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poreza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drugih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dažbina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ili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kazni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dozvoljeno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Naime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neosnovano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polazno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stanovište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podnosioca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inicijative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ograničeno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vlasnika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nepokretnosti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mirno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uživanje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imovine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odnosno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pribiranje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plodova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prihoda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izdavanja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nepokretnosti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potrebe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oglašavanja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jer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dato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jedinicama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lokalne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umesto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vlasnika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objekata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pribiraju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plodove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prihode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oglašavanja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nepokretnostima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privatnoj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svojini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ˮ.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Ukazujemo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odredbama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dato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jedinicama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lokalne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umesto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vlasnika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objekata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pribiraju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plodove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prihode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oglašavanja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nepokretnostima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privatnoj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svojini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ˮ,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već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uređeno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naknada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prihod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naplaćuje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uticaj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raspoloživost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kvalitet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ili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neku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osobinu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površine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postavljena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oglasna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sredstava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površinama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objektima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izvan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površine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vrše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površinu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dozvolu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postavljanje</w:t>
      </w:r>
      <w:r w:rsid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izdaje</w:t>
      </w:r>
      <w:r w:rsid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nadležni</w:t>
      </w:r>
      <w:r w:rsid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organ</w:t>
      </w:r>
      <w:r w:rsid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74BAC" w:rsidRDefault="00CF3FF1" w:rsidP="00E74BAC">
      <w:pPr>
        <w:tabs>
          <w:tab w:val="left" w:pos="1440"/>
        </w:tabs>
        <w:spacing w:after="12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Neprihvatljiv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tav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inicijatora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odredbama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narušena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sigurnost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jer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prema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njegovom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shvatanju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>, „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način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propisuje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jedinice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lokalne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pripada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predmetni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prihod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ˮ,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odnosno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jedinica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lokalne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nadležna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određuje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visinu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naknade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obveznici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plaćati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korišćenjem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površine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ˮ,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može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dovesti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prema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shvatanju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podnosioca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inicijative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toga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više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jedinica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lokalne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naplaćuje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prihod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korišćenja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površine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Takva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argumentacija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može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prihvatiti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obzirom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odredbama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177.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uređeno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jedinice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lokalne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nadležne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pitanjima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svrsishodan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način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mogu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ostvarivati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unutar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jedinice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lokalne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Pored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toga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odredbama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188.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propisano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teritorija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sedište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jedinice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lokalne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određuje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Takođe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ukazujemo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odredbom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finansiranju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jedinica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lokalne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004" w:rsidRPr="00E74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(„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Službeni</w:t>
      </w:r>
      <w:r w:rsidR="00101004" w:rsidRPr="00E74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glasnik</w:t>
      </w:r>
      <w:r w:rsidR="00101004" w:rsidRPr="00E74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PC”,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br</w:t>
      </w:r>
      <w:r w:rsidR="00101004" w:rsidRPr="00E74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. 62/06, 47/11, 93/12, 83/16, 104/16 -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dr</w:t>
      </w:r>
      <w:r w:rsidR="00101004" w:rsidRPr="00E74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zakon</w:t>
      </w:r>
      <w:r w:rsidR="00101004" w:rsidRPr="00E74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i</w:t>
      </w:r>
      <w:r w:rsidR="00101004" w:rsidRPr="00E74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95/18 -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dr</w:t>
      </w:r>
      <w:r w:rsidR="00101004" w:rsidRPr="00E74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zakon</w:t>
      </w:r>
      <w:r w:rsidR="00101004" w:rsidRPr="00E74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)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uređeno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jedinici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lokalne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pripadaju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izvorni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prihodi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ostvareni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njenoj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teritoriji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između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ostalog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naknade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korišćenje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javnih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dobara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Prema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tome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nema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potrebe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posebno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uređuje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kojoj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jedinici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lokalne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pripada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prihod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jer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pripadnost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prihoda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jedinica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lokalne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odnosno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nadležnost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jedinica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lokalne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shodno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uređena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uređuje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lokalna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odnosno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uređuje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finansiranje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jedinica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lokalne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uređuje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glavni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grad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mogu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imati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nadležnost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utvrđivanje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prihoda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teritoriji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druge</w:t>
      </w:r>
      <w:r w:rsid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jedinice</w:t>
      </w:r>
      <w:r w:rsid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lokalne</w:t>
      </w:r>
      <w:r w:rsid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samouprave</w:t>
      </w:r>
      <w:r w:rsid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74BAC" w:rsidRDefault="00CF3FF1" w:rsidP="00E74BAC">
      <w:pPr>
        <w:tabs>
          <w:tab w:val="left" w:pos="1440"/>
        </w:tabs>
        <w:spacing w:after="12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Pored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toga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neosnovano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shvatanje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podnosioca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inicijative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prilikom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donošenja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zakonodavac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uzeo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obzir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obaveza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plaćanja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predmetne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naknade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zasnovana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ekonomskoj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moći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obveznika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kako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nalaže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navodeći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većina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subjekata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učestvuju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tržištu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oglašavanja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osim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budžetskih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korisnika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neće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moći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pokriju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troškove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svog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poslovanja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tim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ukazujemo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odredbom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239.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dato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ovlašćenje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jedinica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lokalne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svojim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aktom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utvrdi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visinu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naknade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okviru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maksimalne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visine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kriterijuma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propisani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Navedenim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omogućeno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jedinica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lokalne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najbolje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poznaje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ekonomsku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moć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obveznika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svojoj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teritoriji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svojim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aktom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može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propisati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različite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iznose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naknada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različite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naplate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navedene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naknade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kategorije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objekata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namene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između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ostalog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zavisnosti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mesta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postavljanja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oglasnih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sredstava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Ustavnopravno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posmatrano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zakonodavac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definisanju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mera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fiskalne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politike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limitaran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kvalitativnom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kvantitativnom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smislu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Zakonodavac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uvek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dužan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stara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zakonodavnim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rešenjima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čini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povrede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ustavnih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načela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drugih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ustavnih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odredaba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odnosno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ustavnog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sistema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celini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Stvar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ocene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svrsishodnosti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celishodnosti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način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propisati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odgovarajuće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visine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naknade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oslobođenja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odnosno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olakšice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imajući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vidu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elementi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propisuju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utiču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izvršavanje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obaveze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plaćanja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naknada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korišćenje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javnih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dobara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javnog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prihoda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74BAC" w:rsidRDefault="00CF3FF1" w:rsidP="00E74BAC">
      <w:pPr>
        <w:tabs>
          <w:tab w:val="left" w:pos="1440"/>
        </w:tabs>
        <w:spacing w:after="12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Odredbama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238.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propisana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osnovica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naknada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korišćenje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prostora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javnoj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površini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jednaka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površini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korišćenog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prostora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izražena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metrima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kvadratnim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(m²).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Polazeći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toga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poreska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osnovica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jedan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osnovnih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elemenata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poreskog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sistema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neosnovano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osporavaju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predmetne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odredbe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obzirom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podnosilac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inicijative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posebno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obrazlagao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osporavanje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navedene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odredbe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napominjemo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naknade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korišćenje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javnih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dobara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korišćenje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površine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objekta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oglašavanje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sopstvene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potrebe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potrebe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drugih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lica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vrši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neposredni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uticaj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raspoloživost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kvalitet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ili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neku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osobinu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površine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dozvolu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izdaje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nadležni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organ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jedinice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lokalne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propisana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jedinstvena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osnovica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60DA" w:rsidRDefault="00CF3FF1" w:rsidP="000860DA">
      <w:pPr>
        <w:tabs>
          <w:tab w:val="left" w:pos="1440"/>
        </w:tabs>
        <w:spacing w:after="12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Takođe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neprihvatljivi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razlozi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argumentacija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ocenu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ustavnosti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podnosioca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inicijative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sadržani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navodima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odredba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241.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kojom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propisano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direktni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indirektni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budžetski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korisnici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obveznici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plaćanja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naknade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suprotnosti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84.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propisano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imaju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jednak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pravni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položaj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tržištu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time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predviđena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ekonomska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barijera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poslovanja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tržištu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oglašavanja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subjekte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direktni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ili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indirektni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korisnici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Prema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shvatanju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podnosioca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inicijative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direktni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indirektni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korisnici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budžetskih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sredstava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obzirom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izloženi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troškovima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naknade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konkurentniji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tržištu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oglašavanja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odnosu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učesnike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takvo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stanje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uticati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ekonomski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interes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novih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subjekata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smislu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nezainteresovanosti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predmetno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tržište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Ukazujemo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smislu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uređuje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budžetski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sistem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irektni</w:t>
      </w:r>
      <w:r w:rsidR="00101004" w:rsidRPr="00E74BA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korisnici</w:t>
      </w:r>
      <w:r w:rsidR="00101004" w:rsidRPr="00E74BA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budžetskih</w:t>
      </w:r>
      <w:r w:rsidR="00101004" w:rsidRPr="00E74BA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sredstava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organi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odnosno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službe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lokalne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vlasti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ndirektni</w:t>
      </w:r>
      <w:r w:rsidR="00101004" w:rsidRPr="00E74BA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korisnici</w:t>
      </w:r>
      <w:r w:rsidR="00101004" w:rsidRPr="00E74BA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budžetskih</w:t>
      </w:r>
      <w:r w:rsidR="00101004" w:rsidRPr="00E74BA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sredstava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pravosudni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mesne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zajednice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ustanove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osnovane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strane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odnosno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lokalne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vlasti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nad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kojima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osnivač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preko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direktnih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korisnika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budžetskih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sredstava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vrši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zakonom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utvrđena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prava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pogledu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upravljanja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finansiranja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direktni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indirektni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korisnici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budžetskih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obveznici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plaćanja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naknade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korišćenje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vrše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ovlašćenja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sredstvima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javnoj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svojini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pretežnom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državnoj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svojini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celini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pretežnim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delom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finansiraju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prihoda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uglavnom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obavljaju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delatnost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naglašavamo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oglašavanju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oglašavanje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predstavljanje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obliku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poslovanjem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profesionalnom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poslovnom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delatnošću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podsticanja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prodaje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robe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usluga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prodaje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nepokretnosti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prenosa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oglašivač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lice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oglašava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svojstvo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trgovca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propisima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uređuju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račun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trgovca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profesionalnu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delatnost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prodaje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robe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usluga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nepokretnosti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prenos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posebnim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propisima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oglašavanju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ističemo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direktni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indirektni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korisnici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budžetskih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obavljaju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nemaju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svojstvo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oglašavanja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smislu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oglašavanju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vrše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oglašavanje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sklopu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ostvarivanja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svog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delokruga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npr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pozivi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oglašavanje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prodaju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rashodovanog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naoružanja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vojne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opreme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obaveštenja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kampanje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cilju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promovisanja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predstavljanja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svojih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akcija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radova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uglavnom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predstavljaju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tržišnu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konkurenciju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ostalim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učesnicima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tržištu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oglašavanja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imaju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svojstvo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trgovca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podsticanja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prodaje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robe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usluga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101004" w:rsidRPr="00E74BAC" w:rsidRDefault="00CF3FF1" w:rsidP="000860DA">
      <w:pPr>
        <w:tabs>
          <w:tab w:val="left" w:pos="1440"/>
        </w:tabs>
        <w:spacing w:after="12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D42883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="00D42883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iznetog</w:t>
      </w:r>
      <w:r w:rsidR="00D42883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smatra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nema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formalnog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suštinskog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dovodi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pitanje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ustavnost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zakonitost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odredaba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člana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236.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stav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tačka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2),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člana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238.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člana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241.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stav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Zakona</w:t>
      </w:r>
      <w:r w:rsidR="00101004" w:rsidRPr="00E74BA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01004" w:rsidRPr="00E74BAC" w:rsidRDefault="00101004" w:rsidP="00101004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101004" w:rsidRPr="00E74BAC" w:rsidRDefault="00101004" w:rsidP="00101004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28"/>
        <w:gridCol w:w="4200"/>
      </w:tblGrid>
      <w:tr w:rsidR="00101004" w:rsidRPr="00E74BAC" w:rsidTr="000E66E4">
        <w:tc>
          <w:tcPr>
            <w:tcW w:w="4428" w:type="dxa"/>
          </w:tcPr>
          <w:p w:rsidR="00101004" w:rsidRPr="00E74BAC" w:rsidRDefault="00101004" w:rsidP="00101004">
            <w:pPr>
              <w:tabs>
                <w:tab w:val="left" w:pos="720"/>
                <w:tab w:val="left" w:pos="1418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101004" w:rsidRPr="00E74BAC" w:rsidRDefault="00101004" w:rsidP="00101004">
            <w:pPr>
              <w:tabs>
                <w:tab w:val="left" w:pos="1418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1004" w:rsidRPr="00E74BAC" w:rsidRDefault="00CF3FF1" w:rsidP="00101004">
            <w:pPr>
              <w:tabs>
                <w:tab w:val="left" w:pos="1418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PREDSEDNIK</w:t>
            </w:r>
            <w:r w:rsidR="00D42883" w:rsidRPr="00E74BA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D42883" w:rsidRPr="00E74BAC" w:rsidRDefault="00D42883" w:rsidP="00101004">
            <w:pPr>
              <w:tabs>
                <w:tab w:val="left" w:pos="1418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101004" w:rsidRPr="00E74BAC" w:rsidRDefault="00325E16" w:rsidP="00101004">
            <w:pPr>
              <w:tabs>
                <w:tab w:val="left" w:pos="720"/>
                <w:tab w:val="left" w:pos="1418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CF3FF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Jelena</w:t>
            </w:r>
            <w:r w:rsidR="00D42883" w:rsidRPr="00E74BA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CF3FF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Žarić</w:t>
            </w:r>
            <w:r w:rsidR="00D42883" w:rsidRPr="00E74BA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CF3FF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Kovačević</w:t>
            </w:r>
          </w:p>
        </w:tc>
      </w:tr>
    </w:tbl>
    <w:p w:rsidR="00101004" w:rsidRPr="00E74BAC" w:rsidRDefault="00101004" w:rsidP="00101004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sectPr w:rsidR="00101004" w:rsidRPr="00E74BAC" w:rsidSect="00025A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701" w:bottom="141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322" w:rsidRDefault="002E6322">
      <w:pPr>
        <w:spacing w:after="0" w:line="240" w:lineRule="auto"/>
      </w:pPr>
      <w:r>
        <w:separator/>
      </w:r>
    </w:p>
  </w:endnote>
  <w:endnote w:type="continuationSeparator" w:id="0">
    <w:p w:rsidR="002E6322" w:rsidRDefault="002E6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FF1" w:rsidRDefault="00CF3F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FF1" w:rsidRDefault="00CF3F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FF1" w:rsidRDefault="00CF3F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322" w:rsidRDefault="002E6322">
      <w:pPr>
        <w:spacing w:after="0" w:line="240" w:lineRule="auto"/>
      </w:pPr>
      <w:r>
        <w:separator/>
      </w:r>
    </w:p>
  </w:footnote>
  <w:footnote w:type="continuationSeparator" w:id="0">
    <w:p w:rsidR="002E6322" w:rsidRDefault="002E6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A0A" w:rsidRDefault="00D42883" w:rsidP="00025A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5A0A" w:rsidRDefault="002E63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A0A" w:rsidRDefault="00D42883" w:rsidP="00025A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3FF1">
      <w:rPr>
        <w:rStyle w:val="PageNumber"/>
        <w:noProof/>
      </w:rPr>
      <w:t>2</w:t>
    </w:r>
    <w:r>
      <w:rPr>
        <w:rStyle w:val="PageNumber"/>
      </w:rPr>
      <w:fldChar w:fldCharType="end"/>
    </w:r>
  </w:p>
  <w:p w:rsidR="00025A0A" w:rsidRDefault="002E63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FF1" w:rsidRDefault="00CF3F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004"/>
    <w:rsid w:val="000769F0"/>
    <w:rsid w:val="000860DA"/>
    <w:rsid w:val="00101004"/>
    <w:rsid w:val="00103355"/>
    <w:rsid w:val="002E6322"/>
    <w:rsid w:val="00325E16"/>
    <w:rsid w:val="005D1A74"/>
    <w:rsid w:val="009636A1"/>
    <w:rsid w:val="00CF3FF1"/>
    <w:rsid w:val="00D22867"/>
    <w:rsid w:val="00D42883"/>
    <w:rsid w:val="00E7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01004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0100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unhideWhenUsed/>
    <w:rsid w:val="00101004"/>
  </w:style>
  <w:style w:type="paragraph" w:styleId="Footer">
    <w:name w:val="footer"/>
    <w:basedOn w:val="Normal"/>
    <w:link w:val="FooterChar"/>
    <w:uiPriority w:val="99"/>
    <w:unhideWhenUsed/>
    <w:rsid w:val="00CF3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F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01004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0100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unhideWhenUsed/>
    <w:rsid w:val="00101004"/>
  </w:style>
  <w:style w:type="paragraph" w:styleId="Footer">
    <w:name w:val="footer"/>
    <w:basedOn w:val="Normal"/>
    <w:link w:val="FooterChar"/>
    <w:uiPriority w:val="99"/>
    <w:unhideWhenUsed/>
    <w:rsid w:val="00CF3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5CB45-00F7-4556-8B50-29B56E14F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2989</Words>
  <Characters>17041</Characters>
  <Application>Microsoft Office Word</Application>
  <DocSecurity>0</DocSecurity>
  <Lines>142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2021-08-03T06:50:00Z</dcterms:created>
  <dcterms:modified xsi:type="dcterms:W3CDTF">2021-08-03T06:50:00Z</dcterms:modified>
</cp:coreProperties>
</file>